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BDBD2A">
      <w:pPr>
        <w:ind w:firstLine="600"/>
      </w:pPr>
      <w:r>
        <w:rPr>
          <w:rFonts w:hint="eastAsia"/>
          <w:sz w:val="30"/>
          <w:szCs w:val="3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-1152525</wp:posOffset>
            </wp:positionH>
            <wp:positionV relativeFrom="page">
              <wp:posOffset>36830</wp:posOffset>
            </wp:positionV>
            <wp:extent cx="7560310" cy="3510915"/>
            <wp:effectExtent l="0" t="0" r="2540" b="13335"/>
            <wp:wrapNone/>
            <wp:docPr id="2" name="图片 2" descr="C:/Users/1/Desktop/3.18/a杭州师范大学李叔同美育学院 （叔同书院）文件.jpga杭州师范大学李叔同美育学院 （叔同书院）文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1/Desktop/3.18/a杭州师范大学李叔同美育学院 （叔同书院）文件.jpga杭州师范大学李叔同美育学院 （叔同书院）文件"/>
                    <pic:cNvPicPr>
                      <a:picLocks noChangeAspect="1"/>
                    </pic:cNvPicPr>
                  </pic:nvPicPr>
                  <pic:blipFill>
                    <a:blip r:embed="rId12"/>
                    <a:srcRect l="63" r="63"/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3510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0ED55D">
      <w:pPr>
        <w:ind w:firstLine="1040"/>
      </w:pPr>
    </w:p>
    <w:p w14:paraId="551C3A35">
      <w:pPr>
        <w:ind w:firstLine="1040"/>
      </w:pPr>
    </w:p>
    <w:p w14:paraId="36F1F2F9">
      <w:pPr>
        <w:pStyle w:val="7"/>
        <w:spacing w:line="720" w:lineRule="exact"/>
        <w:jc w:val="both"/>
        <w:rPr>
          <w:rFonts w:ascii="仿宋" w:hAnsi="仿宋" w:eastAsia="仿宋"/>
          <w:sz w:val="28"/>
          <w:szCs w:val="28"/>
        </w:rPr>
      </w:pPr>
    </w:p>
    <w:p w14:paraId="0D8A6E55">
      <w:pPr>
        <w:pStyle w:val="7"/>
        <w:spacing w:line="720" w:lineRule="exact"/>
        <w:ind w:firstLine="56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美育学院办【2</w:t>
      </w:r>
      <w:r>
        <w:rPr>
          <w:rFonts w:ascii="仿宋" w:hAnsi="仿宋" w:eastAsia="仿宋"/>
          <w:sz w:val="28"/>
          <w:szCs w:val="28"/>
        </w:rPr>
        <w:t>025</w:t>
      </w:r>
      <w:r>
        <w:rPr>
          <w:rFonts w:hint="eastAsia" w:ascii="仿宋" w:hAnsi="仿宋" w:eastAsia="仿宋"/>
          <w:sz w:val="28"/>
          <w:szCs w:val="28"/>
        </w:rPr>
        <w:t>】</w:t>
      </w:r>
      <w:r>
        <w:rPr>
          <w:rFonts w:ascii="仿宋" w:hAnsi="仿宋" w:eastAsia="仿宋"/>
          <w:sz w:val="28"/>
          <w:szCs w:val="28"/>
        </w:rPr>
        <w:t>7</w:t>
      </w:r>
      <w:r>
        <w:rPr>
          <w:rFonts w:hint="eastAsia" w:ascii="仿宋" w:hAnsi="仿宋" w:eastAsia="仿宋"/>
          <w:sz w:val="28"/>
          <w:szCs w:val="28"/>
        </w:rPr>
        <w:t>号</w:t>
      </w:r>
    </w:p>
    <w:p w14:paraId="12B7599F">
      <w:pPr>
        <w:pStyle w:val="7"/>
        <w:spacing w:line="720" w:lineRule="exact"/>
        <w:ind w:firstLine="1760" w:firstLineChars="400"/>
        <w:jc w:val="both"/>
      </w:pPr>
    </w:p>
    <w:p w14:paraId="1EF5D8B8">
      <w:pPr>
        <w:ind w:firstLine="0" w:firstLineChars="0"/>
        <w:jc w:val="center"/>
        <w:rPr>
          <w:rFonts w:ascii="方正小标宋简体" w:hAnsi="方正公文小标宋" w:eastAsia="方正小标宋简体" w:cs="方正公文小标宋"/>
          <w:bCs w:val="0"/>
          <w:sz w:val="28"/>
          <w:szCs w:val="28"/>
        </w:rPr>
      </w:pPr>
      <w:r>
        <w:rPr>
          <w:rFonts w:hint="eastAsia" w:ascii="方正小标宋简体" w:hAnsi="方正公文小标宋" w:eastAsia="方正小标宋简体" w:cs="方正公文小标宋"/>
          <w:sz w:val="44"/>
          <w:szCs w:val="44"/>
        </w:rPr>
        <w:t>杭州师范大学</w:t>
      </w:r>
      <w:r>
        <w:rPr>
          <w:rFonts w:hint="eastAsia" w:ascii="方正小标宋简体" w:hAnsi="方正公文小标宋" w:eastAsia="方正小标宋简体" w:cs="方正公文小标宋"/>
          <w:sz w:val="44"/>
          <w:szCs w:val="44"/>
          <w:lang w:val="en-US" w:eastAsia="zh-CN"/>
        </w:rPr>
        <w:t>丰子恺奖教金（</w:t>
      </w:r>
      <w:r>
        <w:rPr>
          <w:rFonts w:hint="eastAsia" w:ascii="方正小标宋简体" w:hAnsi="方正公文小标宋" w:eastAsia="方正小标宋简体" w:cs="方正公文小标宋"/>
          <w:sz w:val="44"/>
          <w:szCs w:val="44"/>
        </w:rPr>
        <w:t>美育教学奖</w:t>
      </w:r>
      <w:r>
        <w:rPr>
          <w:rFonts w:hint="eastAsia" w:ascii="方正小标宋简体" w:hAnsi="方正公文小标宋" w:eastAsia="方正小标宋简体" w:cs="方正公文小标宋"/>
          <w:sz w:val="44"/>
          <w:szCs w:val="44"/>
          <w:lang w:val="en-US" w:eastAsia="zh-CN"/>
        </w:rPr>
        <w:t>）</w:t>
      </w:r>
      <w:r>
        <w:rPr>
          <w:rFonts w:hint="eastAsia" w:ascii="方正小标宋简体" w:hAnsi="方正公文小标宋" w:eastAsia="方正小标宋简体" w:cs="方正公文小标宋"/>
          <w:sz w:val="44"/>
          <w:szCs w:val="44"/>
        </w:rPr>
        <w:t>奖励办法</w:t>
      </w:r>
      <w:r>
        <w:rPr>
          <w:rFonts w:hint="eastAsia" w:ascii="方正小标宋简体" w:hAnsi="方正公文小标宋" w:eastAsia="方正小标宋简体" w:cs="方正公文小标宋"/>
          <w:sz w:val="28"/>
          <w:szCs w:val="28"/>
        </w:rPr>
        <w:t>（试行）</w:t>
      </w:r>
    </w:p>
    <w:p w14:paraId="5887C7E9">
      <w:pPr>
        <w:spacing w:line="560" w:lineRule="exact"/>
        <w:ind w:firstLine="640"/>
        <w:rPr>
          <w:rFonts w:ascii="仿宋_GB2312" w:hAnsi="Times" w:eastAsia="仿宋_GB2312" w:cs="Times New Roman"/>
          <w:sz w:val="32"/>
          <w:szCs w:val="32"/>
        </w:rPr>
      </w:pPr>
      <w:r>
        <w:rPr>
          <w:rFonts w:hint="eastAsia" w:ascii="仿宋_GB2312" w:hAnsi="Times" w:eastAsia="仿宋_GB2312" w:cs="Times New Roman"/>
          <w:sz w:val="32"/>
          <w:szCs w:val="32"/>
        </w:rPr>
        <w:t>为深入贯彻习近平新时代中国特色社会主义思想，落实立德树人根本任务，弘扬“真、善、美”的育人理念，树立“科学之美求真、人文之美向善、艺术之美臻美”的大美育观，构建“通识、学科、实践”三位一体的美育课程体系，激励教师投身美育教学和美育实践活动，特制定此奖励办法。</w:t>
      </w:r>
    </w:p>
    <w:p w14:paraId="6C0D10E8">
      <w:pPr>
        <w:numPr>
          <w:ilvl w:val="0"/>
          <w:numId w:val="1"/>
        </w:numPr>
        <w:spacing w:line="560" w:lineRule="exact"/>
        <w:ind w:firstLine="64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奖项设置</w:t>
      </w:r>
    </w:p>
    <w:p w14:paraId="4C4E7743">
      <w:pPr>
        <w:spacing w:line="560" w:lineRule="exact"/>
        <w:ind w:firstLine="640"/>
        <w:rPr>
          <w:rFonts w:ascii="仿宋_GB2312" w:hAnsi="Times" w:eastAsia="仿宋_GB2312" w:cs="Times New Roman"/>
          <w:sz w:val="32"/>
          <w:szCs w:val="32"/>
        </w:rPr>
      </w:pPr>
      <w:r>
        <w:rPr>
          <w:rFonts w:hint="eastAsia" w:ascii="仿宋_GB2312" w:hAnsi="Times" w:eastAsia="仿宋_GB2312" w:cs="Times New Roman"/>
          <w:sz w:val="32"/>
          <w:szCs w:val="32"/>
        </w:rPr>
        <w:t>丰子恺</w:t>
      </w:r>
      <w:r>
        <w:rPr>
          <w:rFonts w:hint="eastAsia" w:ascii="仿宋_GB2312" w:hAnsi="Times" w:eastAsia="仿宋_GB2312" w:cs="Times New Roman"/>
          <w:sz w:val="32"/>
          <w:szCs w:val="32"/>
          <w:lang w:val="en-US" w:eastAsia="zh-CN"/>
        </w:rPr>
        <w:t>奖教金（</w:t>
      </w:r>
      <w:r>
        <w:rPr>
          <w:rFonts w:hint="eastAsia" w:ascii="仿宋_GB2312" w:hAnsi="Times" w:eastAsia="仿宋_GB2312" w:cs="Times New Roman"/>
          <w:sz w:val="32"/>
          <w:szCs w:val="32"/>
        </w:rPr>
        <w:t>美育教学奖</w:t>
      </w:r>
      <w:r>
        <w:rPr>
          <w:rFonts w:hint="eastAsia" w:ascii="仿宋_GB2312" w:hAnsi="Times" w:eastAsia="仿宋_GB2312" w:cs="Times New Roman"/>
          <w:sz w:val="32"/>
          <w:szCs w:val="32"/>
          <w:lang w:val="en-US" w:eastAsia="zh-CN"/>
        </w:rPr>
        <w:t>）</w:t>
      </w:r>
      <w:r>
        <w:rPr>
          <w:rFonts w:hint="eastAsia" w:ascii="仿宋_GB2312" w:hAnsi="Times" w:eastAsia="仿宋_GB2312" w:cs="Times New Roman"/>
          <w:sz w:val="32"/>
          <w:szCs w:val="32"/>
        </w:rPr>
        <w:t>每年评选一次，每次评选美育教学优秀奖2名、美育教学优秀青年奖（年龄不超过40周岁）4名、美育实践指导奖2名。如当年度无符合标准人选，名额可空缺。</w:t>
      </w:r>
    </w:p>
    <w:p w14:paraId="79421D3A">
      <w:pPr>
        <w:numPr>
          <w:ilvl w:val="0"/>
          <w:numId w:val="1"/>
        </w:numPr>
        <w:spacing w:line="560" w:lineRule="exact"/>
        <w:ind w:firstLine="64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评选范围</w:t>
      </w:r>
    </w:p>
    <w:p w14:paraId="78683CBE">
      <w:pPr>
        <w:spacing w:line="560" w:lineRule="exact"/>
        <w:ind w:firstLine="640"/>
        <w:rPr>
          <w:rFonts w:ascii="仿宋_GB2312" w:hAnsi="Times" w:eastAsia="仿宋_GB2312" w:cs="Times New Roman"/>
          <w:sz w:val="32"/>
          <w:szCs w:val="32"/>
        </w:rPr>
      </w:pPr>
      <w:r>
        <w:rPr>
          <w:rFonts w:hint="eastAsia" w:ascii="仿宋_GB2312" w:hAnsi="Times" w:eastAsia="仿宋_GB2312" w:cs="Times New Roman"/>
          <w:sz w:val="32"/>
          <w:szCs w:val="32"/>
        </w:rPr>
        <w:t>学校在编在岗且符合评选条件的教师可参加评选，凡已获得美育教学奖者不重复参评同类奖项。</w:t>
      </w:r>
    </w:p>
    <w:p w14:paraId="51EF3CD5">
      <w:pPr>
        <w:spacing w:line="560" w:lineRule="exact"/>
        <w:ind w:firstLine="64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三、评选条件</w:t>
      </w:r>
    </w:p>
    <w:p w14:paraId="61FDA24D">
      <w:pPr>
        <w:spacing w:line="560" w:lineRule="exact"/>
        <w:ind w:firstLine="640"/>
        <w:rPr>
          <w:rFonts w:ascii="仿宋_GB2312" w:hAnsi="Times" w:eastAsia="仿宋_GB2312" w:cs="Times New Roman"/>
          <w:sz w:val="32"/>
          <w:szCs w:val="32"/>
        </w:rPr>
      </w:pPr>
      <w:r>
        <w:rPr>
          <w:rFonts w:hint="eastAsia" w:ascii="仿宋_GB2312" w:hAnsi="Times" w:eastAsia="仿宋_GB2312" w:cs="Times New Roman"/>
          <w:sz w:val="32"/>
          <w:szCs w:val="32"/>
        </w:rPr>
        <w:t xml:space="preserve">（一）热爱祖国，忠诚党的教育事业，有强烈的事业心和高度的责任感，爱岗敬业，为人师表。潜心教书育人，关心学生学习和成长，育人成绩突出，深受师生好评和喜爱。 </w:t>
      </w:r>
    </w:p>
    <w:p w14:paraId="5A484587">
      <w:pPr>
        <w:spacing w:line="560" w:lineRule="exact"/>
        <w:ind w:firstLine="640"/>
        <w:rPr>
          <w:rFonts w:ascii="仿宋_GB2312" w:hAnsi="Times" w:eastAsia="仿宋_GB2312" w:cs="Times New Roman"/>
          <w:sz w:val="32"/>
          <w:szCs w:val="32"/>
        </w:rPr>
      </w:pPr>
      <w:r>
        <w:rPr>
          <w:rFonts w:hint="eastAsia" w:ascii="仿宋_GB2312" w:hAnsi="Times" w:eastAsia="仿宋_GB2312" w:cs="Times New Roman"/>
          <w:sz w:val="32"/>
          <w:szCs w:val="32"/>
        </w:rPr>
        <w:t>（二）在美育教学和美育实践中，以社会主义核心价值观为引领,弘扬中华美育精神,坚定文化自信,把美育融入教育教学活动的各个环节，潜移默化地彰显美育育人实效。</w:t>
      </w:r>
    </w:p>
    <w:p w14:paraId="21A038EA">
      <w:pPr>
        <w:spacing w:line="560" w:lineRule="exact"/>
        <w:ind w:firstLine="640"/>
        <w:rPr>
          <w:rFonts w:ascii="仿宋_GB2312" w:hAnsi="Times" w:eastAsia="仿宋_GB2312" w:cs="Times New Roman"/>
          <w:sz w:val="32"/>
          <w:szCs w:val="32"/>
        </w:rPr>
      </w:pPr>
      <w:r>
        <w:rPr>
          <w:rFonts w:hint="eastAsia" w:ascii="仿宋_GB2312" w:hAnsi="Times" w:eastAsia="仿宋_GB2312" w:cs="Times New Roman"/>
          <w:sz w:val="32"/>
          <w:szCs w:val="32"/>
        </w:rPr>
        <w:t>（三）参评教师应符合以下至少一项条件：</w:t>
      </w:r>
    </w:p>
    <w:p w14:paraId="1AB43FED">
      <w:pPr>
        <w:spacing w:line="560" w:lineRule="exact"/>
        <w:ind w:firstLine="640"/>
        <w:rPr>
          <w:rFonts w:ascii="仿宋_GB2312" w:hAnsi="Times" w:eastAsia="仿宋_GB2312" w:cs="Times New Roman"/>
          <w:sz w:val="32"/>
          <w:szCs w:val="32"/>
        </w:rPr>
      </w:pPr>
      <w:r>
        <w:rPr>
          <w:rFonts w:hint="eastAsia" w:ascii="仿宋_GB2312" w:hAnsi="Times" w:eastAsia="仿宋_GB2312" w:cs="Times New Roman"/>
          <w:sz w:val="32"/>
          <w:szCs w:val="32"/>
        </w:rPr>
        <w:t>1.长期开设“艺术鉴赏与审美体验”通识选修课程，能够充分挖掘和运用课程蕴含的美育教育资源，在课程目标设定、教学设计、评价方式、课堂实施等方面能突出美育浸润，育人效果明显。学生认可度高，具有标杆和示范引领作用。</w:t>
      </w:r>
    </w:p>
    <w:p w14:paraId="1005358D">
      <w:pPr>
        <w:spacing w:line="560" w:lineRule="exact"/>
        <w:ind w:firstLine="640"/>
        <w:rPr>
          <w:rFonts w:ascii="仿宋_GB2312" w:hAnsi="Times" w:eastAsia="仿宋_GB2312" w:cs="Times New Roman"/>
          <w:sz w:val="32"/>
          <w:szCs w:val="32"/>
        </w:rPr>
      </w:pPr>
      <w:r>
        <w:rPr>
          <w:rFonts w:hint="eastAsia" w:ascii="仿宋_GB2312" w:hAnsi="Times" w:eastAsia="仿宋_GB2312" w:cs="Times New Roman"/>
          <w:sz w:val="32"/>
          <w:szCs w:val="32"/>
        </w:rPr>
        <w:t>2.开展通识课程和专业课程（艺术类专业课程除外）教学过程中，能将美育理念有机融入课程教学全过程，挖掘课程所蕴含的科技美、人文美和艺术美，让学生在掌握知识的同时，获得审美体验、提升审美能力。</w:t>
      </w:r>
    </w:p>
    <w:p w14:paraId="32E41C85">
      <w:pPr>
        <w:spacing w:line="560" w:lineRule="exact"/>
        <w:ind w:firstLine="640"/>
        <w:rPr>
          <w:rFonts w:ascii="仿宋_GB2312" w:hAnsi="Times" w:eastAsia="仿宋_GB2312" w:cs="Times New Roman"/>
          <w:sz w:val="32"/>
          <w:szCs w:val="32"/>
        </w:rPr>
      </w:pPr>
      <w:r>
        <w:rPr>
          <w:rFonts w:hint="eastAsia" w:ascii="仿宋_GB2312" w:hAnsi="Times" w:eastAsia="仿宋_GB2312" w:cs="Times New Roman"/>
          <w:sz w:val="32"/>
          <w:szCs w:val="32"/>
        </w:rPr>
        <w:t>3.在美育理论研究、教材建设方面取得重要成果，能有效指导教育教学改革实践，出版具有示范推广价值的论著、教材或配套教学资源；</w:t>
      </w:r>
    </w:p>
    <w:p w14:paraId="7426D9ED">
      <w:pPr>
        <w:spacing w:line="560" w:lineRule="exact"/>
        <w:ind w:firstLine="640"/>
        <w:rPr>
          <w:rFonts w:ascii="仿宋_GB2312" w:hAnsi="Times" w:eastAsia="仿宋_GB2312" w:cs="Times New Roman"/>
          <w:sz w:val="32"/>
          <w:szCs w:val="32"/>
        </w:rPr>
      </w:pPr>
      <w:r>
        <w:rPr>
          <w:rFonts w:hint="eastAsia" w:ascii="仿宋_GB2312" w:hAnsi="Times" w:eastAsia="仿宋_GB2312" w:cs="Times New Roman"/>
          <w:sz w:val="32"/>
          <w:szCs w:val="32"/>
        </w:rPr>
        <w:t>4.积极指导非艺术类专业学生开展美育学科竞赛、美育社团、艺教实践、公共艺术项目等活动，成绩显著，影响良好。</w:t>
      </w:r>
    </w:p>
    <w:p w14:paraId="11836178">
      <w:pPr>
        <w:spacing w:line="560" w:lineRule="exact"/>
        <w:ind w:firstLine="640"/>
        <w:rPr>
          <w:rFonts w:ascii="仿宋_GB2312" w:hAnsi="Times" w:eastAsia="仿宋_GB2312" w:cs="Times New Roman"/>
          <w:sz w:val="32"/>
          <w:szCs w:val="32"/>
        </w:rPr>
      </w:pPr>
      <w:r>
        <w:rPr>
          <w:rFonts w:hint="eastAsia" w:ascii="仿宋_GB2312" w:hAnsi="Times" w:eastAsia="仿宋_GB2312" w:cs="Times New Roman"/>
          <w:sz w:val="32"/>
          <w:szCs w:val="32"/>
        </w:rPr>
        <w:t>（四）在课堂教学中学生评教成绩进入全校前50%，教学效果优秀。</w:t>
      </w:r>
    </w:p>
    <w:p w14:paraId="783F028B">
      <w:pPr>
        <w:spacing w:line="560" w:lineRule="exact"/>
        <w:ind w:firstLine="64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四、评审机构</w:t>
      </w:r>
    </w:p>
    <w:p w14:paraId="2451996A">
      <w:pPr>
        <w:spacing w:line="560" w:lineRule="exact"/>
        <w:ind w:firstLine="640"/>
        <w:rPr>
          <w:rFonts w:ascii="仿宋_GB2312" w:hAnsi="Times" w:eastAsia="仿宋_GB2312" w:cs="Times New Roman"/>
          <w:sz w:val="32"/>
          <w:szCs w:val="32"/>
        </w:rPr>
      </w:pPr>
      <w:r>
        <w:rPr>
          <w:rFonts w:hint="eastAsia" w:ascii="仿宋_GB2312" w:hAnsi="Times" w:eastAsia="仿宋_GB2312" w:cs="Times New Roman"/>
          <w:sz w:val="32"/>
          <w:szCs w:val="32"/>
        </w:rPr>
        <w:t>1.学校设立“丰子恺</w:t>
      </w:r>
      <w:r>
        <w:rPr>
          <w:rFonts w:hint="eastAsia" w:ascii="仿宋_GB2312" w:hAnsi="Times" w:eastAsia="仿宋_GB2312" w:cs="Times New Roman"/>
          <w:sz w:val="32"/>
          <w:szCs w:val="32"/>
          <w:lang w:val="en-US" w:eastAsia="zh-CN"/>
        </w:rPr>
        <w:t>奖教金（</w:t>
      </w:r>
      <w:r>
        <w:rPr>
          <w:rFonts w:hint="eastAsia" w:ascii="仿宋_GB2312" w:hAnsi="Times" w:eastAsia="仿宋_GB2312" w:cs="Times New Roman"/>
          <w:sz w:val="32"/>
          <w:szCs w:val="32"/>
        </w:rPr>
        <w:t>美育教学奖</w:t>
      </w:r>
      <w:r>
        <w:rPr>
          <w:rFonts w:hint="eastAsia" w:ascii="仿宋_GB2312" w:hAnsi="Times" w:eastAsia="仿宋_GB2312" w:cs="Times New Roman"/>
          <w:sz w:val="32"/>
          <w:szCs w:val="32"/>
          <w:lang w:val="en-US" w:eastAsia="zh-CN"/>
        </w:rPr>
        <w:t>）</w:t>
      </w:r>
      <w:r>
        <w:rPr>
          <w:rFonts w:hint="eastAsia" w:ascii="仿宋_GB2312" w:hAnsi="Times" w:eastAsia="仿宋_GB2312" w:cs="Times New Roman"/>
          <w:sz w:val="32"/>
          <w:szCs w:val="32"/>
        </w:rPr>
        <w:t>”评审委员会，由李叔同美育学院（叔同书院）院长任主任委员，分管美育教学工作的副院长担任副主任委员，教务处、团委、相关教学单位，负责奖项的组织实施、评</w:t>
      </w:r>
      <w:bookmarkStart w:id="0" w:name="_GoBack"/>
      <w:bookmarkEnd w:id="0"/>
      <w:r>
        <w:rPr>
          <w:rFonts w:hint="eastAsia" w:ascii="仿宋_GB2312" w:hAnsi="Times" w:eastAsia="仿宋_GB2312" w:cs="Times New Roman"/>
          <w:sz w:val="32"/>
          <w:szCs w:val="32"/>
        </w:rPr>
        <w:t>选审定、过程监督与结果公示等工作。</w:t>
      </w:r>
    </w:p>
    <w:p w14:paraId="6977485A">
      <w:pPr>
        <w:spacing w:line="560" w:lineRule="exact"/>
        <w:ind w:firstLine="640"/>
        <w:rPr>
          <w:rFonts w:ascii="仿宋_GB2312" w:hAnsi="Times" w:eastAsia="仿宋_GB2312" w:cs="Times New Roman"/>
          <w:sz w:val="32"/>
          <w:szCs w:val="32"/>
        </w:rPr>
      </w:pPr>
      <w:r>
        <w:rPr>
          <w:rFonts w:hint="eastAsia" w:ascii="仿宋_GB2312" w:hAnsi="Times" w:eastAsia="仿宋_GB2312" w:cs="Times New Roman"/>
          <w:sz w:val="32"/>
          <w:szCs w:val="32"/>
        </w:rPr>
        <w:t xml:space="preserve">2.评审委员会办公室设在美育学院教务与通识办公室，负责奖项的宣传发布、申报材料接收、评选组织、公示及材料归档等事务。  </w:t>
      </w:r>
    </w:p>
    <w:p w14:paraId="201FA486">
      <w:pPr>
        <w:spacing w:line="560" w:lineRule="exact"/>
        <w:ind w:firstLine="64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五、评选程序</w:t>
      </w:r>
    </w:p>
    <w:p w14:paraId="78F77DDF">
      <w:pPr>
        <w:spacing w:line="560" w:lineRule="exact"/>
        <w:ind w:firstLine="640"/>
        <w:rPr>
          <w:rFonts w:ascii="仿宋_GB2312" w:hAnsi="Times" w:eastAsia="仿宋_GB2312" w:cs="Times New Roman"/>
          <w:sz w:val="32"/>
          <w:szCs w:val="32"/>
        </w:rPr>
      </w:pPr>
      <w:r>
        <w:rPr>
          <w:rFonts w:hint="eastAsia" w:ascii="仿宋_GB2312" w:hAnsi="Times" w:eastAsia="仿宋_GB2312" w:cs="Times New Roman"/>
          <w:sz w:val="32"/>
          <w:szCs w:val="32"/>
        </w:rPr>
        <w:t>1.教师申报。凡符合评选范围和条件的教师可向所在学院提交申请材料。</w:t>
      </w:r>
    </w:p>
    <w:p w14:paraId="49A4C202">
      <w:pPr>
        <w:spacing w:line="560" w:lineRule="exact"/>
        <w:ind w:firstLine="640"/>
        <w:rPr>
          <w:rFonts w:ascii="仿宋_GB2312" w:hAnsi="Times" w:eastAsia="仿宋_GB2312" w:cs="Times New Roman"/>
          <w:sz w:val="32"/>
          <w:szCs w:val="32"/>
        </w:rPr>
      </w:pPr>
      <w:r>
        <w:rPr>
          <w:rFonts w:hint="eastAsia" w:ascii="仿宋_GB2312" w:hAnsi="Times" w:eastAsia="仿宋_GB2312" w:cs="Times New Roman"/>
          <w:sz w:val="32"/>
          <w:szCs w:val="32"/>
        </w:rPr>
        <w:t>2.学院审核推荐。各学院依照评选条件对教师申报资格进行初审后，由院党政联席会议决定推荐参评人选。</w:t>
      </w:r>
    </w:p>
    <w:p w14:paraId="50B39314">
      <w:pPr>
        <w:spacing w:line="560" w:lineRule="exact"/>
        <w:ind w:firstLine="640"/>
        <w:rPr>
          <w:rFonts w:ascii="仿宋_GB2312" w:hAnsi="Times" w:eastAsia="仿宋_GB2312" w:cs="Times New Roman"/>
          <w:sz w:val="32"/>
          <w:szCs w:val="32"/>
        </w:rPr>
      </w:pPr>
      <w:r>
        <w:rPr>
          <w:rFonts w:hint="eastAsia" w:ascii="仿宋_GB2312" w:hAnsi="Times" w:eastAsia="仿宋_GB2312" w:cs="Times New Roman"/>
          <w:sz w:val="32"/>
          <w:szCs w:val="32"/>
        </w:rPr>
        <w:t>3.学校审核。“丰子恺</w:t>
      </w:r>
      <w:r>
        <w:rPr>
          <w:rFonts w:hint="eastAsia" w:ascii="仿宋_GB2312" w:hAnsi="Times" w:eastAsia="仿宋_GB2312" w:cs="Times New Roman"/>
          <w:sz w:val="32"/>
          <w:szCs w:val="32"/>
          <w:lang w:val="en-US" w:eastAsia="zh-CN"/>
        </w:rPr>
        <w:t>奖教金（</w:t>
      </w:r>
      <w:r>
        <w:rPr>
          <w:rFonts w:hint="eastAsia" w:ascii="仿宋_GB2312" w:hAnsi="Times" w:eastAsia="仿宋_GB2312" w:cs="Times New Roman"/>
          <w:sz w:val="32"/>
          <w:szCs w:val="32"/>
        </w:rPr>
        <w:t>美育教学奖</w:t>
      </w:r>
      <w:r>
        <w:rPr>
          <w:rFonts w:hint="eastAsia" w:ascii="仿宋_GB2312" w:hAnsi="Times" w:eastAsia="仿宋_GB2312" w:cs="Times New Roman"/>
          <w:sz w:val="32"/>
          <w:szCs w:val="32"/>
          <w:lang w:val="en-US" w:eastAsia="zh-CN"/>
        </w:rPr>
        <w:t>）</w:t>
      </w:r>
      <w:r>
        <w:rPr>
          <w:rFonts w:hint="eastAsia" w:ascii="仿宋_GB2312" w:hAnsi="Times" w:eastAsia="仿宋_GB2312" w:cs="Times New Roman"/>
          <w:sz w:val="32"/>
          <w:szCs w:val="32"/>
        </w:rPr>
        <w:t>”评审委员会组织对参评人员申报材料进行审核，对存在虚假信息或有疑义、不符合评选条件或有教学事故者，取消参评资格。</w:t>
      </w:r>
    </w:p>
    <w:p w14:paraId="141E43A1">
      <w:pPr>
        <w:spacing w:line="560" w:lineRule="exact"/>
        <w:ind w:firstLine="640"/>
        <w:rPr>
          <w:rFonts w:ascii="仿宋_GB2312" w:hAnsi="Times" w:eastAsia="仿宋_GB2312" w:cs="Times New Roman"/>
          <w:sz w:val="32"/>
          <w:szCs w:val="32"/>
          <w:highlight w:val="yellow"/>
        </w:rPr>
      </w:pPr>
      <w:r>
        <w:rPr>
          <w:rFonts w:hint="eastAsia" w:ascii="仿宋_GB2312" w:hAnsi="Times" w:eastAsia="仿宋_GB2312" w:cs="Times New Roman"/>
          <w:sz w:val="32"/>
          <w:szCs w:val="32"/>
        </w:rPr>
        <w:t>4.学校评审。由“丰子恺</w:t>
      </w:r>
      <w:r>
        <w:rPr>
          <w:rFonts w:hint="eastAsia" w:ascii="仿宋_GB2312" w:hAnsi="Times" w:eastAsia="仿宋_GB2312" w:cs="Times New Roman"/>
          <w:sz w:val="32"/>
          <w:szCs w:val="32"/>
          <w:lang w:val="en-US" w:eastAsia="zh-CN"/>
        </w:rPr>
        <w:t>奖教金（</w:t>
      </w:r>
      <w:r>
        <w:rPr>
          <w:rFonts w:hint="eastAsia" w:ascii="仿宋_GB2312" w:hAnsi="Times" w:eastAsia="仿宋_GB2312" w:cs="Times New Roman"/>
          <w:sz w:val="32"/>
          <w:szCs w:val="32"/>
        </w:rPr>
        <w:t>美育教学奖</w:t>
      </w:r>
      <w:r>
        <w:rPr>
          <w:rFonts w:hint="eastAsia" w:ascii="仿宋_GB2312" w:hAnsi="Times" w:eastAsia="仿宋_GB2312" w:cs="Times New Roman"/>
          <w:sz w:val="32"/>
          <w:szCs w:val="32"/>
          <w:lang w:val="en-US" w:eastAsia="zh-CN"/>
        </w:rPr>
        <w:t>）</w:t>
      </w:r>
      <w:r>
        <w:rPr>
          <w:rFonts w:hint="eastAsia" w:ascii="仿宋_GB2312" w:hAnsi="Times" w:eastAsia="仿宋_GB2312" w:cs="Times New Roman"/>
          <w:sz w:val="32"/>
          <w:szCs w:val="32"/>
        </w:rPr>
        <w:t>”评审委员会负责组织专家评审并提出建议名单。报校长办公会议审定最终获奖人选。</w:t>
      </w:r>
      <w:r>
        <w:rPr>
          <w:rFonts w:ascii="仿宋_GB2312" w:hAnsi="Times" w:eastAsia="仿宋_GB2312" w:cs="Times New Roman"/>
          <w:sz w:val="32"/>
          <w:szCs w:val="32"/>
        </w:rPr>
        <w:t xml:space="preserve"> _</w:t>
      </w:r>
    </w:p>
    <w:p w14:paraId="68153766">
      <w:pPr>
        <w:spacing w:line="560" w:lineRule="exact"/>
        <w:ind w:firstLine="640"/>
        <w:rPr>
          <w:rFonts w:ascii="仿宋_GB2312" w:hAnsi="Times" w:eastAsia="仿宋_GB2312" w:cs="Times New Roman"/>
          <w:sz w:val="32"/>
          <w:szCs w:val="32"/>
        </w:rPr>
      </w:pPr>
      <w:r>
        <w:rPr>
          <w:rFonts w:hint="eastAsia" w:ascii="仿宋_GB2312" w:hAnsi="Times" w:eastAsia="仿宋_GB2312" w:cs="Times New Roman"/>
          <w:sz w:val="32"/>
          <w:szCs w:val="32"/>
        </w:rPr>
        <w:t>5.获奖名单报杭州师范大学教育基金会理事会审核。</w:t>
      </w:r>
    </w:p>
    <w:p w14:paraId="10FB41F0">
      <w:pPr>
        <w:spacing w:line="560" w:lineRule="exact"/>
        <w:ind w:firstLine="640"/>
        <w:rPr>
          <w:rFonts w:ascii="仿宋_GB2312" w:hAnsi="Times" w:eastAsia="仿宋_GB2312" w:cs="Times New Roman"/>
          <w:sz w:val="32"/>
          <w:szCs w:val="32"/>
        </w:rPr>
      </w:pPr>
      <w:r>
        <w:rPr>
          <w:rFonts w:hint="eastAsia" w:ascii="仿宋_GB2312" w:hAnsi="Times" w:eastAsia="仿宋_GB2312" w:cs="Times New Roman"/>
          <w:sz w:val="32"/>
          <w:szCs w:val="32"/>
        </w:rPr>
        <w:t>6.结果公示。最终评定结果在学校相关网站上公示 7 天。</w:t>
      </w:r>
    </w:p>
    <w:p w14:paraId="121D4DA9">
      <w:pPr>
        <w:spacing w:line="560" w:lineRule="exact"/>
        <w:ind w:firstLine="64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六、奖励金额</w:t>
      </w:r>
    </w:p>
    <w:p w14:paraId="09390C16">
      <w:pPr>
        <w:spacing w:line="560" w:lineRule="exact"/>
        <w:ind w:firstLine="640"/>
        <w:rPr>
          <w:rFonts w:ascii="仿宋_GB2312" w:hAnsi="Times" w:eastAsia="仿宋_GB2312" w:cs="Times New Roman"/>
          <w:sz w:val="32"/>
          <w:szCs w:val="32"/>
        </w:rPr>
      </w:pPr>
      <w:r>
        <w:rPr>
          <w:rFonts w:hint="eastAsia" w:ascii="仿宋_GB2312" w:hAnsi="Times" w:eastAsia="仿宋_GB2312" w:cs="Times New Roman"/>
          <w:sz w:val="32"/>
          <w:szCs w:val="32"/>
        </w:rPr>
        <w:t>丰子恺美育教学优秀奖每人奖励人民币 10,000元，丰子恺美育教学优秀青年奖每人奖励人民币 5,000元，丰子恺美育实践指导奖每人奖励人民币 5,000元。奖金由“杭州师范大学李叔同美育学院（叔同书院）‘丰子恺奖教金’”资助。</w:t>
      </w:r>
    </w:p>
    <w:p w14:paraId="6C916A9A">
      <w:pPr>
        <w:spacing w:line="560" w:lineRule="exact"/>
        <w:ind w:firstLine="64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七、附则</w:t>
      </w:r>
    </w:p>
    <w:p w14:paraId="21B38225">
      <w:pPr>
        <w:spacing w:line="560" w:lineRule="exact"/>
        <w:ind w:firstLine="640"/>
        <w:rPr>
          <w:rFonts w:ascii="仿宋_GB2312" w:hAnsi="Times" w:eastAsia="仿宋_GB2312" w:cs="Times New Roman"/>
          <w:sz w:val="32"/>
          <w:szCs w:val="32"/>
        </w:rPr>
      </w:pPr>
      <w:r>
        <w:rPr>
          <w:rFonts w:hint="eastAsia" w:ascii="仿宋_GB2312" w:hAnsi="Times" w:eastAsia="仿宋_GB2312" w:cs="Times New Roman"/>
          <w:sz w:val="32"/>
          <w:szCs w:val="32"/>
        </w:rPr>
        <w:t>本办法自发布之日起施行；</w:t>
      </w:r>
    </w:p>
    <w:p w14:paraId="7E948401">
      <w:pPr>
        <w:spacing w:line="560" w:lineRule="exact"/>
        <w:ind w:firstLine="640"/>
        <w:rPr>
          <w:rFonts w:ascii="仿宋_GB2312" w:hAnsi="Times" w:eastAsia="仿宋_GB2312" w:cs="Times New Roman"/>
          <w:sz w:val="32"/>
          <w:szCs w:val="32"/>
        </w:rPr>
      </w:pPr>
      <w:r>
        <w:rPr>
          <w:rFonts w:hint="eastAsia" w:ascii="仿宋_GB2312" w:hAnsi="Times" w:eastAsia="仿宋_GB2312" w:cs="Times New Roman"/>
          <w:sz w:val="32"/>
          <w:szCs w:val="32"/>
        </w:rPr>
        <w:t>本办法由李叔同美育学院（叔同书院）负责解释。</w:t>
      </w:r>
    </w:p>
    <w:p w14:paraId="22990DE8">
      <w:pPr>
        <w:spacing w:line="560" w:lineRule="exact"/>
        <w:ind w:firstLine="640"/>
        <w:rPr>
          <w:rFonts w:ascii="仿宋_GB2312" w:hAnsi="Times" w:eastAsia="仿宋_GB2312" w:cs="Times New Roman"/>
          <w:sz w:val="32"/>
          <w:szCs w:val="32"/>
        </w:rPr>
      </w:pPr>
    </w:p>
    <w:p w14:paraId="64B7345A">
      <w:pPr>
        <w:spacing w:line="560" w:lineRule="exact"/>
        <w:ind w:firstLine="640"/>
        <w:rPr>
          <w:rFonts w:ascii="仿宋_GB2312" w:hAnsi="Times" w:eastAsia="仿宋_GB2312" w:cs="Times New Roman"/>
          <w:sz w:val="32"/>
          <w:szCs w:val="32"/>
        </w:rPr>
      </w:pPr>
    </w:p>
    <w:p w14:paraId="63604DF0">
      <w:pPr>
        <w:spacing w:line="560" w:lineRule="exact"/>
        <w:ind w:firstLine="640"/>
        <w:rPr>
          <w:rFonts w:ascii="仿宋_GB2312" w:hAnsi="Times" w:eastAsia="仿宋_GB2312" w:cs="Times New Roman"/>
          <w:sz w:val="32"/>
          <w:szCs w:val="32"/>
        </w:rPr>
      </w:pPr>
    </w:p>
    <w:p w14:paraId="009AE9F3">
      <w:pPr>
        <w:spacing w:line="560" w:lineRule="exact"/>
        <w:ind w:firstLine="640"/>
        <w:rPr>
          <w:rFonts w:ascii="仿宋_GB2312" w:hAnsi="Times" w:eastAsia="仿宋_GB2312" w:cs="Times New Roman"/>
          <w:sz w:val="32"/>
          <w:szCs w:val="32"/>
        </w:rPr>
      </w:pPr>
    </w:p>
    <w:p w14:paraId="520DC91F">
      <w:pPr>
        <w:spacing w:line="560" w:lineRule="exact"/>
        <w:ind w:firstLine="640"/>
        <w:rPr>
          <w:rFonts w:ascii="仿宋_GB2312" w:hAnsi="Times" w:eastAsia="仿宋_GB2312" w:cs="Times New Roman"/>
          <w:sz w:val="32"/>
          <w:szCs w:val="32"/>
        </w:rPr>
      </w:pPr>
    </w:p>
    <w:p w14:paraId="75E98CCA">
      <w:pPr>
        <w:spacing w:line="560" w:lineRule="exact"/>
        <w:ind w:firstLine="640"/>
        <w:rPr>
          <w:rFonts w:ascii="仿宋_GB2312" w:hAnsi="Times" w:eastAsia="仿宋_GB2312" w:cs="Times New Roman"/>
          <w:sz w:val="32"/>
          <w:szCs w:val="32"/>
        </w:rPr>
      </w:pPr>
    </w:p>
    <w:p w14:paraId="1BCB2795">
      <w:pPr>
        <w:spacing w:line="560" w:lineRule="exact"/>
        <w:ind w:firstLine="640"/>
        <w:rPr>
          <w:rFonts w:ascii="仿宋_GB2312" w:hAnsi="Times" w:eastAsia="仿宋_GB2312" w:cs="Times New Roman"/>
          <w:sz w:val="32"/>
          <w:szCs w:val="32"/>
        </w:rPr>
      </w:pPr>
    </w:p>
    <w:p w14:paraId="6A04AC74">
      <w:pPr>
        <w:spacing w:line="560" w:lineRule="exact"/>
        <w:ind w:firstLine="5440" w:firstLineChars="1700"/>
        <w:rPr>
          <w:rFonts w:hint="eastAsia" w:ascii="仿宋_GB2312" w:hAnsi="Times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" w:eastAsia="仿宋_GB2312" w:cs="Times New Roman"/>
          <w:sz w:val="32"/>
          <w:szCs w:val="32"/>
          <w:lang w:val="en-US" w:eastAsia="zh-CN"/>
        </w:rPr>
        <w:t>教务处</w:t>
      </w:r>
    </w:p>
    <w:p w14:paraId="5BBA3EE4">
      <w:pPr>
        <w:spacing w:line="560" w:lineRule="exact"/>
        <w:ind w:firstLine="3840" w:firstLineChars="1200"/>
        <w:rPr>
          <w:rFonts w:ascii="仿宋_GB2312" w:hAnsi="Times" w:eastAsia="仿宋_GB2312" w:cs="Times New Roman"/>
          <w:sz w:val="32"/>
          <w:szCs w:val="32"/>
        </w:rPr>
      </w:pPr>
      <w:r>
        <w:rPr>
          <w:rFonts w:hint="eastAsia" w:ascii="仿宋_GB2312" w:hAnsi="Times" w:eastAsia="仿宋_GB2312" w:cs="Times New Roman"/>
          <w:sz w:val="32"/>
          <w:szCs w:val="32"/>
        </w:rPr>
        <w:t>李叔同美育学院（叔同书院）</w:t>
      </w:r>
      <w:r>
        <w:rPr>
          <w:rFonts w:hint="eastAsia" w:ascii="仿宋_GB2312" w:hAnsi="Times" w:eastAsia="仿宋_GB2312" w:cs="Times New Roman"/>
          <w:sz w:val="32"/>
          <w:szCs w:val="32"/>
        </w:rPr>
        <w:br w:type="textWrapping"/>
      </w:r>
      <w:r>
        <w:rPr>
          <w:rFonts w:hint="eastAsia" w:ascii="仿宋_GB2312" w:hAnsi="Times" w:eastAsia="仿宋_GB2312" w:cs="Times New Roman"/>
          <w:sz w:val="32"/>
          <w:szCs w:val="32"/>
        </w:rPr>
        <w:t xml:space="preserve">                             2025年</w:t>
      </w:r>
      <w:r>
        <w:rPr>
          <w:rFonts w:ascii="仿宋_GB2312" w:hAnsi="Times" w:eastAsia="仿宋_GB2312" w:cs="Times New Roman"/>
          <w:sz w:val="32"/>
          <w:szCs w:val="32"/>
        </w:rPr>
        <w:t>8</w:t>
      </w:r>
      <w:r>
        <w:rPr>
          <w:rFonts w:hint="eastAsia" w:ascii="仿宋_GB2312" w:hAnsi="Times" w:eastAsia="仿宋_GB2312" w:cs="Times New Roman"/>
          <w:sz w:val="32"/>
          <w:szCs w:val="32"/>
        </w:rPr>
        <w:t>月18日</w:t>
      </w:r>
    </w:p>
    <w:p w14:paraId="0A286E75">
      <w:pPr>
        <w:pStyle w:val="7"/>
        <w:spacing w:line="720" w:lineRule="exact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1040"/>
      </w:pPr>
      <w:r>
        <w:separator/>
      </w:r>
    </w:p>
  </w:endnote>
  <w:endnote w:type="continuationSeparator" w:id="1">
    <w:p>
      <w:pPr>
        <w:spacing w:line="240" w:lineRule="auto"/>
        <w:ind w:firstLine="10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20B0604020202020204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20B0604020202020204"/>
    <w:charset w:val="86"/>
    <w:family w:val="auto"/>
    <w:pitch w:val="default"/>
    <w:sig w:usb0="00000000" w:usb1="00000000" w:usb2="00000010" w:usb3="00000000" w:csb0="00040000" w:csb1="00000000"/>
  </w:font>
  <w:font w:name="方正公文小标宋">
    <w:altName w:val="宋体"/>
    <w:panose1 w:val="020B0604020202020204"/>
    <w:charset w:val="86"/>
    <w:family w:val="auto"/>
    <w:pitch w:val="default"/>
    <w:sig w:usb0="00000000" w:usb1="00000000" w:usb2="00000016" w:usb3="00000000" w:csb0="00040001" w:csb1="00000000"/>
  </w:font>
  <w:font w:name="Times">
    <w:altName w:val="Times New Roman"/>
    <w:panose1 w:val="020B0604020202020204"/>
    <w:charset w:val="00"/>
    <w:family w:val="roman"/>
    <w:pitch w:val="default"/>
    <w:sig w:usb0="00000000" w:usb1="00000000" w:usb2="00000009" w:usb3="00000000" w:csb0="0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38CB31">
    <w:pPr>
      <w:pStyle w:val="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46F7AD">
    <w:pPr>
      <w:pStyle w:val="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21829E">
    <w:pPr>
      <w:pStyle w:val="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1040"/>
      </w:pPr>
      <w:r>
        <w:separator/>
      </w:r>
    </w:p>
  </w:footnote>
  <w:footnote w:type="continuationSeparator" w:id="1">
    <w:p>
      <w:pPr>
        <w:spacing w:line="360" w:lineRule="auto"/>
        <w:ind w:firstLine="10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B0FE6A">
    <w:pPr>
      <w:pStyle w:val="6"/>
      <w:pBdr>
        <w:bottom w:val="none" w:color="auto" w:sz="0" w:space="1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C53625">
    <w:pPr>
      <w:pStyle w:val="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A8073A">
    <w:pPr>
      <w:pStyle w:val="6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4DAD90C"/>
    <w:multiLevelType w:val="singleLevel"/>
    <w:tmpl w:val="B4DAD90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930BD8"/>
    <w:rsid w:val="00056290"/>
    <w:rsid w:val="001E7213"/>
    <w:rsid w:val="002233C4"/>
    <w:rsid w:val="002B5AE5"/>
    <w:rsid w:val="003838F0"/>
    <w:rsid w:val="0058305B"/>
    <w:rsid w:val="005E4645"/>
    <w:rsid w:val="006949D2"/>
    <w:rsid w:val="006A6BB4"/>
    <w:rsid w:val="007E22E9"/>
    <w:rsid w:val="00A21B44"/>
    <w:rsid w:val="00AE6471"/>
    <w:rsid w:val="00B64D8B"/>
    <w:rsid w:val="00BD3855"/>
    <w:rsid w:val="00CA4DBA"/>
    <w:rsid w:val="00CE222E"/>
    <w:rsid w:val="00D51A42"/>
    <w:rsid w:val="00E2488D"/>
    <w:rsid w:val="00E90CDF"/>
    <w:rsid w:val="00F073CA"/>
    <w:rsid w:val="0C602C9F"/>
    <w:rsid w:val="203F2CD4"/>
    <w:rsid w:val="441647C1"/>
    <w:rsid w:val="4C930BD8"/>
    <w:rsid w:val="74B2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方正小标宋_GBK" w:cs="方正小标宋_GBK"/>
      <w:bCs/>
      <w:kern w:val="2"/>
      <w:sz w:val="52"/>
      <w:szCs w:val="52"/>
      <w:lang w:val="en-US" w:eastAsia="zh-CN" w:bidi="ar-SA"/>
      <w14:ligatures w14:val="standardContextual"/>
    </w:rPr>
  </w:style>
  <w:style w:type="paragraph" w:styleId="2">
    <w:name w:val="heading 1"/>
    <w:next w:val="1"/>
    <w:link w:val="12"/>
    <w:qFormat/>
    <w:uiPriority w:val="0"/>
    <w:pPr>
      <w:keepNext/>
      <w:keepLines/>
      <w:widowControl w:val="0"/>
      <w:overflowPunct w:val="0"/>
      <w:topLinePunct/>
      <w:ind w:firstLine="632" w:firstLineChars="200"/>
      <w:jc w:val="both"/>
      <w:outlineLvl w:val="0"/>
    </w:pPr>
    <w:rPr>
      <w:rFonts w:ascii="Times New Roman" w:hAnsi="Times New Roman" w:eastAsia="黑体" w:cs="Times New Roman"/>
      <w:kern w:val="44"/>
      <w:sz w:val="32"/>
      <w:szCs w:val="32"/>
      <w:lang w:val="en-US" w:eastAsia="zh-CN" w:bidi="ar-SA"/>
    </w:rPr>
  </w:style>
  <w:style w:type="paragraph" w:styleId="3">
    <w:name w:val="heading 2"/>
    <w:next w:val="1"/>
    <w:link w:val="13"/>
    <w:unhideWhenUsed/>
    <w:qFormat/>
    <w:uiPriority w:val="0"/>
    <w:pPr>
      <w:keepNext/>
      <w:keepLines/>
      <w:widowControl w:val="0"/>
      <w:overflowPunct w:val="0"/>
      <w:topLinePunct/>
      <w:ind w:firstLine="632" w:firstLineChars="200"/>
      <w:jc w:val="both"/>
      <w:outlineLvl w:val="1"/>
    </w:pPr>
    <w:rPr>
      <w:rFonts w:ascii="Times New Roman" w:hAnsi="Times New Roman" w:eastAsia="楷体" w:cs="Times New Roman"/>
      <w:kern w:val="2"/>
      <w:sz w:val="32"/>
      <w:szCs w:val="3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link w:val="14"/>
    <w:qFormat/>
    <w:uiPriority w:val="0"/>
    <w:pPr>
      <w:widowControl w:val="0"/>
      <w:overflowPunct w:val="0"/>
      <w:topLinePunct/>
      <w:ind w:firstLine="632" w:firstLineChars="20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7">
    <w:name w:val="Title"/>
    <w:link w:val="15"/>
    <w:qFormat/>
    <w:uiPriority w:val="0"/>
    <w:pPr>
      <w:widowControl w:val="0"/>
      <w:overflowPunct w:val="0"/>
      <w:topLinePunct/>
      <w:jc w:val="center"/>
    </w:pPr>
    <w:rPr>
      <w:rFonts w:ascii="Times New Roman" w:hAnsi="Times New Roman" w:eastAsia="方正小标宋_GBK" w:cs="Times New Roman"/>
      <w:kern w:val="2"/>
      <w:sz w:val="44"/>
      <w:szCs w:val="32"/>
      <w:lang w:val="en-US" w:eastAsia="zh-CN" w:bidi="ar-SA"/>
    </w:rPr>
  </w:style>
  <w:style w:type="character" w:customStyle="1" w:styleId="10">
    <w:name w:val="页眉 字符"/>
    <w:basedOn w:val="9"/>
    <w:link w:val="6"/>
    <w:qFormat/>
    <w:uiPriority w:val="0"/>
    <w:rPr>
      <w:rFonts w:ascii="Times New Roman" w:hAnsi="Times New Roman" w:eastAsia="方正小标宋_GBK" w:cs="方正小标宋_GBK"/>
      <w:bCs/>
      <w:kern w:val="2"/>
      <w:sz w:val="18"/>
      <w:szCs w:val="18"/>
      <w14:ligatures w14:val="standardContextual"/>
    </w:rPr>
  </w:style>
  <w:style w:type="character" w:customStyle="1" w:styleId="11">
    <w:name w:val="页脚 字符"/>
    <w:basedOn w:val="9"/>
    <w:link w:val="5"/>
    <w:qFormat/>
    <w:uiPriority w:val="0"/>
    <w:rPr>
      <w:rFonts w:ascii="Times New Roman" w:hAnsi="Times New Roman" w:eastAsia="方正小标宋_GBK" w:cs="方正小标宋_GBK"/>
      <w:bCs/>
      <w:kern w:val="2"/>
      <w:sz w:val="18"/>
      <w:szCs w:val="18"/>
      <w14:ligatures w14:val="standardContextual"/>
    </w:rPr>
  </w:style>
  <w:style w:type="character" w:customStyle="1" w:styleId="12">
    <w:name w:val="标题 1 字符"/>
    <w:basedOn w:val="9"/>
    <w:link w:val="2"/>
    <w:qFormat/>
    <w:uiPriority w:val="0"/>
    <w:rPr>
      <w:rFonts w:ascii="Times New Roman" w:hAnsi="Times New Roman" w:eastAsia="黑体" w:cs="Times New Roman"/>
      <w:kern w:val="44"/>
      <w:sz w:val="32"/>
      <w:szCs w:val="32"/>
    </w:rPr>
  </w:style>
  <w:style w:type="character" w:customStyle="1" w:styleId="13">
    <w:name w:val="标题 2 字符"/>
    <w:basedOn w:val="9"/>
    <w:link w:val="3"/>
    <w:qFormat/>
    <w:uiPriority w:val="0"/>
    <w:rPr>
      <w:rFonts w:ascii="Times New Roman" w:hAnsi="Times New Roman" w:eastAsia="楷体" w:cs="Times New Roman"/>
      <w:kern w:val="2"/>
      <w:sz w:val="32"/>
      <w:szCs w:val="32"/>
    </w:rPr>
  </w:style>
  <w:style w:type="character" w:customStyle="1" w:styleId="14">
    <w:name w:val="正文文本 字符"/>
    <w:basedOn w:val="9"/>
    <w:link w:val="4"/>
    <w:qFormat/>
    <w:uiPriority w:val="0"/>
    <w:rPr>
      <w:rFonts w:ascii="Times New Roman" w:hAnsi="Times New Roman" w:eastAsia="仿宋_GB2312" w:cs="Times New Roman"/>
      <w:kern w:val="2"/>
      <w:sz w:val="32"/>
      <w:szCs w:val="32"/>
    </w:rPr>
  </w:style>
  <w:style w:type="character" w:customStyle="1" w:styleId="15">
    <w:name w:val="标题 字符"/>
    <w:basedOn w:val="9"/>
    <w:link w:val="7"/>
    <w:qFormat/>
    <w:uiPriority w:val="0"/>
    <w:rPr>
      <w:rFonts w:ascii="Times New Roman" w:hAnsi="Times New Roman" w:eastAsia="方正小标宋_GBK" w:cs="Times New Roman"/>
      <w:kern w:val="2"/>
      <w:sz w:val="44"/>
      <w:szCs w:val="32"/>
    </w:rPr>
  </w:style>
  <w:style w:type="paragraph" w:styleId="16">
    <w:name w:val="List Paragraph"/>
    <w:basedOn w:val="1"/>
    <w:qFormat/>
    <w:uiPriority w:val="34"/>
    <w:pPr>
      <w:spacing w:line="240" w:lineRule="auto"/>
      <w:ind w:firstLine="420"/>
    </w:pPr>
    <w:rPr>
      <w:rFonts w:asciiTheme="minorHAnsi" w:hAnsiTheme="minorHAnsi" w:eastAsiaTheme="minorEastAsia" w:cstheme="minorBidi"/>
      <w:bCs w:val="0"/>
      <w:sz w:val="21"/>
      <w:szCs w:val="22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1.jpe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1403</Words>
  <Characters>1438</Characters>
  <Lines>10</Lines>
  <Paragraphs>3</Paragraphs>
  <TotalTime>1</TotalTime>
  <ScaleCrop>false</ScaleCrop>
  <LinksUpToDate>false</LinksUpToDate>
  <CharactersWithSpaces>1476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2025-03-18T01:25:00Z</dcterms:created>
  <dc:creator>文</dc:creator>
  <cp:lastModifiedBy>王晶</cp:lastModifiedBy>
  <dcterms:modified xsi:type="dcterms:W3CDTF">2025-11-05T04:34:59Z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1C4052EBD3B741D6A66FD2773D069E9A_13</vt:lpwstr>
  </property>
  <property fmtid="{D5CDD505-2E9C-101B-9397-08002B2CF9AE}" pid="4" name="KSOTemplateDocerSaveRecord">
    <vt:lpwstr>eyJoZGlkIjoiOWU2ZTEyMTQ3MGE0MDYxM2EzMTUwYjE5MTVlZjgzNTMiLCJ1c2VySWQiOiIxNDM5MzI0ODAzIn0=</vt:lpwstr>
  </property>
</Properties>
</file>